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9D" w:rsidRPr="00B04112" w:rsidRDefault="004E2C9D" w:rsidP="004E2C9D">
      <w:pPr>
        <w:spacing w:line="360" w:lineRule="auto"/>
        <w:jc w:val="both"/>
        <w:rPr>
          <w:b/>
          <w:bCs/>
          <w:sz w:val="22"/>
          <w:szCs w:val="22"/>
        </w:rPr>
      </w:pPr>
      <w:r w:rsidRPr="00B04112">
        <w:rPr>
          <w:b/>
          <w:bCs/>
          <w:sz w:val="22"/>
          <w:szCs w:val="22"/>
        </w:rPr>
        <w:t>1. BİRİMİ</w:t>
      </w:r>
      <w:r w:rsidR="00BE064F">
        <w:rPr>
          <w:b/>
          <w:bCs/>
          <w:sz w:val="22"/>
          <w:szCs w:val="22"/>
        </w:rPr>
        <w:t xml:space="preserve">                                  </w:t>
      </w:r>
      <w:r w:rsidRPr="00B04112">
        <w:rPr>
          <w:b/>
          <w:bCs/>
          <w:sz w:val="22"/>
          <w:szCs w:val="22"/>
        </w:rPr>
        <w:t>:</w:t>
      </w:r>
      <w:r w:rsidRPr="00B04112">
        <w:rPr>
          <w:bCs/>
          <w:sz w:val="22"/>
          <w:szCs w:val="22"/>
        </w:rPr>
        <w:t>Diş Hekimliği Fakültesi</w:t>
      </w:r>
    </w:p>
    <w:p w:rsidR="004E2C9D" w:rsidRPr="00B04112" w:rsidRDefault="004E2C9D" w:rsidP="004E2C9D">
      <w:pPr>
        <w:spacing w:line="360" w:lineRule="auto"/>
        <w:jc w:val="both"/>
        <w:rPr>
          <w:bCs/>
          <w:sz w:val="22"/>
          <w:szCs w:val="22"/>
        </w:rPr>
      </w:pPr>
      <w:r w:rsidRPr="00B04112">
        <w:rPr>
          <w:b/>
          <w:bCs/>
          <w:sz w:val="22"/>
          <w:szCs w:val="22"/>
        </w:rPr>
        <w:t>2. GÖREV ADI</w:t>
      </w:r>
      <w:r w:rsidR="00BE064F">
        <w:rPr>
          <w:b/>
          <w:bCs/>
          <w:sz w:val="22"/>
          <w:szCs w:val="22"/>
        </w:rPr>
        <w:t xml:space="preserve">                        </w:t>
      </w:r>
      <w:r w:rsidRPr="00B04112">
        <w:rPr>
          <w:b/>
          <w:bCs/>
          <w:sz w:val="22"/>
          <w:szCs w:val="22"/>
        </w:rPr>
        <w:t xml:space="preserve"> :</w:t>
      </w:r>
      <w:r w:rsidR="004A3ED8" w:rsidRPr="00B04112">
        <w:rPr>
          <w:bCs/>
          <w:sz w:val="22"/>
          <w:szCs w:val="22"/>
        </w:rPr>
        <w:t>Radyoloji Teknisyeni/Teknikeri</w:t>
      </w:r>
    </w:p>
    <w:p w:rsidR="004E2C9D" w:rsidRPr="00B04112" w:rsidRDefault="004E2C9D" w:rsidP="004E2C9D">
      <w:pPr>
        <w:spacing w:line="360" w:lineRule="auto"/>
        <w:jc w:val="both"/>
        <w:rPr>
          <w:bCs/>
          <w:sz w:val="22"/>
          <w:szCs w:val="22"/>
        </w:rPr>
      </w:pPr>
      <w:r w:rsidRPr="00B04112">
        <w:rPr>
          <w:b/>
          <w:bCs/>
          <w:sz w:val="22"/>
          <w:szCs w:val="22"/>
        </w:rPr>
        <w:t xml:space="preserve">3. AMİR VE ÜST AMİRLER : </w:t>
      </w:r>
      <w:r w:rsidR="004A3ED8" w:rsidRPr="00B04112">
        <w:rPr>
          <w:bCs/>
          <w:sz w:val="22"/>
          <w:szCs w:val="22"/>
        </w:rPr>
        <w:t>Radyasyon güvenliği ekip sorumlusu</w:t>
      </w:r>
      <w:r w:rsidR="00BE064F">
        <w:rPr>
          <w:bCs/>
          <w:sz w:val="22"/>
          <w:szCs w:val="22"/>
        </w:rPr>
        <w:t xml:space="preserve">, </w:t>
      </w:r>
      <w:r w:rsidR="00EB1239">
        <w:rPr>
          <w:bCs/>
          <w:sz w:val="22"/>
          <w:szCs w:val="22"/>
        </w:rPr>
        <w:t xml:space="preserve">Fak.Sekreteri, </w:t>
      </w:r>
      <w:r w:rsidR="00BE064F">
        <w:rPr>
          <w:bCs/>
          <w:sz w:val="22"/>
          <w:szCs w:val="22"/>
        </w:rPr>
        <w:t>Dekan Yrd., Dekan</w:t>
      </w:r>
    </w:p>
    <w:p w:rsidR="004E2C9D" w:rsidRPr="00B04112" w:rsidRDefault="004E2C9D" w:rsidP="004E2C9D">
      <w:pPr>
        <w:spacing w:line="360" w:lineRule="auto"/>
        <w:jc w:val="both"/>
        <w:rPr>
          <w:bCs/>
          <w:sz w:val="22"/>
          <w:szCs w:val="22"/>
        </w:rPr>
      </w:pPr>
      <w:r w:rsidRPr="00B04112">
        <w:rPr>
          <w:b/>
          <w:bCs/>
          <w:sz w:val="22"/>
          <w:szCs w:val="22"/>
        </w:rPr>
        <w:t>4. GÖREV DEVRİ</w:t>
      </w:r>
      <w:r w:rsidR="00BE064F">
        <w:rPr>
          <w:b/>
          <w:bCs/>
          <w:sz w:val="22"/>
          <w:szCs w:val="22"/>
        </w:rPr>
        <w:t xml:space="preserve">                   </w:t>
      </w:r>
      <w:r w:rsidRPr="00B04112">
        <w:rPr>
          <w:b/>
          <w:bCs/>
          <w:sz w:val="22"/>
          <w:szCs w:val="22"/>
        </w:rPr>
        <w:t>:</w:t>
      </w:r>
      <w:r w:rsidR="00BE064F">
        <w:rPr>
          <w:bCs/>
          <w:sz w:val="22"/>
          <w:szCs w:val="22"/>
        </w:rPr>
        <w:t xml:space="preserve"> </w:t>
      </w:r>
      <w:r w:rsidR="004A3ED8" w:rsidRPr="00B04112">
        <w:rPr>
          <w:bCs/>
          <w:sz w:val="22"/>
          <w:szCs w:val="22"/>
        </w:rPr>
        <w:t>Üst amirin görevlendirdiği personel</w:t>
      </w:r>
    </w:p>
    <w:p w:rsidR="004A3ED8" w:rsidRDefault="004E2C9D" w:rsidP="004E2C9D">
      <w:pPr>
        <w:spacing w:line="360" w:lineRule="auto"/>
        <w:jc w:val="both"/>
        <w:rPr>
          <w:bCs/>
          <w:sz w:val="22"/>
          <w:szCs w:val="22"/>
        </w:rPr>
      </w:pPr>
      <w:r w:rsidRPr="00B04112">
        <w:rPr>
          <w:b/>
          <w:bCs/>
          <w:sz w:val="22"/>
          <w:szCs w:val="22"/>
        </w:rPr>
        <w:t>5. GÖREV AMACI</w:t>
      </w:r>
      <w:r w:rsidR="00BE064F">
        <w:rPr>
          <w:b/>
          <w:bCs/>
          <w:sz w:val="22"/>
          <w:szCs w:val="22"/>
        </w:rPr>
        <w:t xml:space="preserve">                  </w:t>
      </w:r>
      <w:r w:rsidRPr="00B04112">
        <w:rPr>
          <w:b/>
          <w:bCs/>
          <w:sz w:val="22"/>
          <w:szCs w:val="22"/>
        </w:rPr>
        <w:t>:</w:t>
      </w:r>
      <w:r w:rsidR="00BE064F">
        <w:rPr>
          <w:b/>
          <w:bCs/>
          <w:sz w:val="22"/>
          <w:szCs w:val="22"/>
        </w:rPr>
        <w:t xml:space="preserve"> </w:t>
      </w:r>
      <w:r w:rsidR="004A3ED8" w:rsidRPr="00B04112">
        <w:rPr>
          <w:bCs/>
          <w:sz w:val="22"/>
          <w:szCs w:val="22"/>
        </w:rPr>
        <w:t>Diş hekimi tarafından istenilen grafilerin çekimini yapar.</w:t>
      </w:r>
    </w:p>
    <w:p w:rsidR="00BE064F" w:rsidRPr="00B04112" w:rsidRDefault="00BE064F" w:rsidP="004E2C9D">
      <w:pPr>
        <w:spacing w:line="360" w:lineRule="auto"/>
        <w:jc w:val="both"/>
        <w:rPr>
          <w:bCs/>
          <w:sz w:val="22"/>
          <w:szCs w:val="22"/>
        </w:rPr>
      </w:pPr>
    </w:p>
    <w:p w:rsidR="004E2C9D" w:rsidRPr="00B04112" w:rsidRDefault="004E2C9D" w:rsidP="004E2C9D">
      <w:pPr>
        <w:spacing w:line="360" w:lineRule="auto"/>
        <w:jc w:val="both"/>
        <w:rPr>
          <w:b/>
          <w:sz w:val="22"/>
          <w:szCs w:val="22"/>
        </w:rPr>
      </w:pPr>
      <w:r w:rsidRPr="00B04112">
        <w:rPr>
          <w:b/>
          <w:sz w:val="22"/>
          <w:szCs w:val="22"/>
        </w:rPr>
        <w:t>6.TEMEL İŞ VE SORUMLULUKLAR-YETKİLER</w:t>
      </w:r>
    </w:p>
    <w:p w:rsidR="004A3ED8" w:rsidRPr="00B04112" w:rsidRDefault="004A3ED8" w:rsidP="004A3ED8">
      <w:pPr>
        <w:pStyle w:val="GvdeMetniArial"/>
        <w:spacing w:line="360" w:lineRule="auto"/>
        <w:jc w:val="both"/>
        <w:rPr>
          <w:sz w:val="22"/>
          <w:szCs w:val="22"/>
        </w:rPr>
      </w:pPr>
      <w:r w:rsidRPr="00B04112">
        <w:rPr>
          <w:sz w:val="22"/>
          <w:szCs w:val="22"/>
        </w:rPr>
        <w:t>6.1.Ç</w:t>
      </w:r>
      <w:r w:rsidRPr="00B04112">
        <w:rPr>
          <w:bCs/>
          <w:sz w:val="22"/>
          <w:szCs w:val="22"/>
        </w:rPr>
        <w:t>alışmaya başlamadan evvel Dozimetre cihazını üzerine takar.</w:t>
      </w:r>
    </w:p>
    <w:p w:rsidR="004A3ED8" w:rsidRPr="00B04112" w:rsidRDefault="004A3ED8" w:rsidP="004A3ED8">
      <w:pPr>
        <w:pStyle w:val="GvdeMetniArial"/>
        <w:spacing w:line="360" w:lineRule="auto"/>
        <w:rPr>
          <w:sz w:val="22"/>
          <w:szCs w:val="22"/>
        </w:rPr>
      </w:pPr>
      <w:r w:rsidRPr="00B04112">
        <w:rPr>
          <w:bCs/>
          <w:sz w:val="22"/>
          <w:szCs w:val="22"/>
        </w:rPr>
        <w:t xml:space="preserve">6.2. </w:t>
      </w:r>
      <w:r w:rsidRPr="00B04112">
        <w:rPr>
          <w:sz w:val="22"/>
          <w:szCs w:val="22"/>
        </w:rPr>
        <w:t>Röntgen kayıtlarının otomasyon sisteminde kontrolünü ve çekim öncesi kabulünü yapar.</w:t>
      </w:r>
    </w:p>
    <w:p w:rsidR="004A3ED8" w:rsidRPr="00B04112" w:rsidRDefault="004A3ED8" w:rsidP="004A3ED8">
      <w:pPr>
        <w:pStyle w:val="GvdeMetniArial"/>
        <w:spacing w:line="360" w:lineRule="auto"/>
        <w:rPr>
          <w:sz w:val="22"/>
          <w:szCs w:val="22"/>
        </w:rPr>
      </w:pPr>
      <w:r w:rsidRPr="00B04112">
        <w:rPr>
          <w:sz w:val="22"/>
          <w:szCs w:val="22"/>
        </w:rPr>
        <w:t>6.3.  Panoramik ve gerektiğinde periapikal film grafilerinin çekimini yapar.</w:t>
      </w:r>
    </w:p>
    <w:p w:rsidR="004A3ED8" w:rsidRPr="00B04112" w:rsidRDefault="004A3ED8" w:rsidP="004A3ED8">
      <w:pPr>
        <w:pStyle w:val="GvdeMetniArial"/>
        <w:spacing w:line="360" w:lineRule="auto"/>
        <w:ind w:left="0" w:firstLine="283"/>
        <w:rPr>
          <w:bCs/>
          <w:sz w:val="22"/>
          <w:szCs w:val="22"/>
        </w:rPr>
      </w:pPr>
      <w:r w:rsidRPr="00B04112">
        <w:rPr>
          <w:bCs/>
          <w:sz w:val="22"/>
          <w:szCs w:val="22"/>
        </w:rPr>
        <w:t>6.4.  Grafisi çekilecek  hastaların hazırlanmaları  için gerekli bilgiyi verir,çekim pozisyonlarını verir.</w:t>
      </w:r>
    </w:p>
    <w:p w:rsidR="004A3ED8" w:rsidRPr="00B04112" w:rsidRDefault="004A3ED8" w:rsidP="004A3ED8">
      <w:pPr>
        <w:pStyle w:val="GvdeMetniArial"/>
        <w:spacing w:line="360" w:lineRule="auto"/>
        <w:ind w:firstLine="45"/>
        <w:rPr>
          <w:bCs/>
          <w:sz w:val="22"/>
          <w:szCs w:val="22"/>
        </w:rPr>
      </w:pPr>
      <w:r w:rsidRPr="00B04112">
        <w:rPr>
          <w:bCs/>
          <w:sz w:val="22"/>
          <w:szCs w:val="22"/>
        </w:rPr>
        <w:t>6.5. Röntgen teşhis laboratuarlarında her türlü araç ve cihazları işletmeye ve kullanmaya hazır bulundurur. Gerektiğinde işletir ve kullanır.</w:t>
      </w:r>
    </w:p>
    <w:p w:rsidR="004A3ED8" w:rsidRPr="00B04112" w:rsidRDefault="004A3ED8" w:rsidP="004A3ED8">
      <w:pPr>
        <w:pStyle w:val="GvdeMetniArial"/>
        <w:spacing w:line="360" w:lineRule="auto"/>
        <w:rPr>
          <w:bCs/>
          <w:sz w:val="22"/>
          <w:szCs w:val="22"/>
        </w:rPr>
      </w:pPr>
      <w:r w:rsidRPr="00B04112">
        <w:rPr>
          <w:bCs/>
          <w:sz w:val="22"/>
          <w:szCs w:val="22"/>
        </w:rPr>
        <w:t>6.6. Röntgen laboratuarı ve bütün cihazların bakım, temizlik ve düzenini sağlar.</w:t>
      </w:r>
    </w:p>
    <w:p w:rsidR="004A3ED8" w:rsidRPr="00B04112" w:rsidRDefault="004A3ED8" w:rsidP="004A3ED8">
      <w:pPr>
        <w:pStyle w:val="GvdeMetniArial"/>
        <w:spacing w:line="360" w:lineRule="auto"/>
        <w:rPr>
          <w:bCs/>
          <w:sz w:val="22"/>
          <w:szCs w:val="22"/>
        </w:rPr>
      </w:pPr>
      <w:r w:rsidRPr="00B04112">
        <w:rPr>
          <w:bCs/>
          <w:sz w:val="22"/>
          <w:szCs w:val="22"/>
        </w:rPr>
        <w:t>6.7. Her türlü araç ve cihazlarda oluşacak arızaları sorumlu teknisyene istekte bulunur.</w:t>
      </w:r>
    </w:p>
    <w:p w:rsidR="004A3ED8" w:rsidRPr="00B04112" w:rsidRDefault="004A3ED8" w:rsidP="004A3ED8">
      <w:pPr>
        <w:pStyle w:val="GvdeMetniArial"/>
        <w:spacing w:line="360" w:lineRule="auto"/>
        <w:ind w:left="0" w:firstLine="283"/>
        <w:rPr>
          <w:sz w:val="22"/>
          <w:szCs w:val="22"/>
        </w:rPr>
      </w:pPr>
      <w:r w:rsidRPr="00B04112">
        <w:rPr>
          <w:bCs/>
          <w:sz w:val="22"/>
          <w:szCs w:val="22"/>
        </w:rPr>
        <w:t>6.8. Mevcut birimlerdeki teknik arızaların bakım ve onarım için gerekli idari girişimleri yapar.</w:t>
      </w:r>
    </w:p>
    <w:p w:rsidR="004A3ED8" w:rsidRPr="00B04112" w:rsidRDefault="004A3ED8" w:rsidP="004A3ED8">
      <w:pPr>
        <w:pStyle w:val="GvdeMetniArial"/>
        <w:spacing w:line="360" w:lineRule="auto"/>
        <w:rPr>
          <w:sz w:val="22"/>
          <w:szCs w:val="22"/>
        </w:rPr>
      </w:pPr>
      <w:r w:rsidRPr="00B04112">
        <w:rPr>
          <w:sz w:val="22"/>
          <w:szCs w:val="22"/>
        </w:rPr>
        <w:t>6.9. İdarenin vermiş olduğu diğer görevleri yapar.</w:t>
      </w:r>
    </w:p>
    <w:p w:rsidR="004A3ED8" w:rsidRPr="00B04112" w:rsidRDefault="004A3ED8" w:rsidP="004A3ED8">
      <w:pPr>
        <w:pStyle w:val="GvdeMetniArial"/>
        <w:spacing w:line="360" w:lineRule="auto"/>
        <w:rPr>
          <w:sz w:val="22"/>
          <w:szCs w:val="22"/>
        </w:rPr>
      </w:pPr>
      <w:r w:rsidRPr="00B04112">
        <w:rPr>
          <w:sz w:val="22"/>
          <w:szCs w:val="22"/>
        </w:rPr>
        <w:t>6.10. Düzenlenen eğitim ve toplantılara katılır.</w:t>
      </w:r>
    </w:p>
    <w:p w:rsidR="004A3ED8" w:rsidRPr="00B04112" w:rsidRDefault="004A3ED8" w:rsidP="004A3ED8">
      <w:pPr>
        <w:pStyle w:val="GvdeMetniArial"/>
        <w:spacing w:line="360" w:lineRule="auto"/>
        <w:rPr>
          <w:sz w:val="22"/>
          <w:szCs w:val="22"/>
        </w:rPr>
      </w:pPr>
      <w:r w:rsidRPr="00B04112">
        <w:rPr>
          <w:sz w:val="22"/>
          <w:szCs w:val="22"/>
        </w:rPr>
        <w:t>6.11. Görevini Hizmet kalite standartları politikası, hedefleri ve prosedürlerine uygun olarak yürütür.</w:t>
      </w:r>
    </w:p>
    <w:p w:rsidR="005807C8" w:rsidRPr="00B04112" w:rsidRDefault="004A3ED8" w:rsidP="004A3ED8">
      <w:pPr>
        <w:pStyle w:val="GvdeMetniArial"/>
        <w:spacing w:line="360" w:lineRule="auto"/>
        <w:rPr>
          <w:sz w:val="22"/>
          <w:szCs w:val="22"/>
        </w:rPr>
      </w:pPr>
      <w:r w:rsidRPr="00B04112">
        <w:rPr>
          <w:sz w:val="22"/>
          <w:szCs w:val="22"/>
        </w:rPr>
        <w:t>6.12. Görevi ve Kurumla ile ilgili Kanun, yönerge, yönetmelik ve genelge gibi duyuruları, gerek Resmi gazete, Sağlık Baka</w:t>
      </w:r>
      <w:r w:rsidR="00EB1239">
        <w:rPr>
          <w:sz w:val="22"/>
          <w:szCs w:val="22"/>
        </w:rPr>
        <w:t>nlığı, Kamu İhale Kurumu,Konya Sağlık M</w:t>
      </w:r>
      <w:r w:rsidRPr="00B04112">
        <w:rPr>
          <w:sz w:val="22"/>
          <w:szCs w:val="22"/>
        </w:rPr>
        <w:t xml:space="preserve">üdürlüğü web siteleri de dahil olmak üzere ilgili yayınları günlük takip eder, gereği için </w:t>
      </w:r>
      <w:r w:rsidR="00EB1239">
        <w:rPr>
          <w:sz w:val="22"/>
          <w:szCs w:val="22"/>
        </w:rPr>
        <w:t>dekanlığa</w:t>
      </w:r>
      <w:r w:rsidRPr="00B04112">
        <w:rPr>
          <w:sz w:val="22"/>
          <w:szCs w:val="22"/>
        </w:rPr>
        <w:t xml:space="preserve"> aynı gün bilgi verir.</w:t>
      </w: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5807C8" w:rsidRPr="00B04112" w:rsidRDefault="005807C8" w:rsidP="005807C8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sectPr w:rsidR="005807C8" w:rsidRPr="00B04112" w:rsidSect="00A34E6D">
      <w:headerReference w:type="even" r:id="rId7"/>
      <w:headerReference w:type="default" r:id="rId8"/>
      <w:headerReference w:type="first" r:id="rId9"/>
      <w:pgSz w:w="11906" w:h="16838"/>
      <w:pgMar w:top="1418" w:right="851" w:bottom="1134" w:left="851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A2" w:rsidRDefault="00412AA2" w:rsidP="002F7164">
      <w:pPr>
        <w:pStyle w:val="AltBilgi"/>
      </w:pPr>
      <w:r>
        <w:separator/>
      </w:r>
    </w:p>
  </w:endnote>
  <w:endnote w:type="continuationSeparator" w:id="0">
    <w:p w:rsidR="00412AA2" w:rsidRDefault="00412AA2" w:rsidP="002F7164">
      <w:pPr>
        <w:pStyle w:val="Al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A2" w:rsidRDefault="00412AA2" w:rsidP="002F7164">
      <w:pPr>
        <w:pStyle w:val="AltBilgi"/>
      </w:pPr>
      <w:r>
        <w:separator/>
      </w:r>
    </w:p>
  </w:footnote>
  <w:footnote w:type="continuationSeparator" w:id="0">
    <w:p w:rsidR="00412AA2" w:rsidRDefault="00412AA2" w:rsidP="002F7164">
      <w:pPr>
        <w:pStyle w:val="Al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D8" w:rsidRDefault="00412AA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553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1"/>
      <w:gridCol w:w="4821"/>
      <w:gridCol w:w="1933"/>
      <w:gridCol w:w="1415"/>
    </w:tblGrid>
    <w:tr w:rsidR="004E2C9D" w:rsidRPr="00BE5FB0" w:rsidTr="00101054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4E2C9D" w:rsidRPr="002B0297" w:rsidRDefault="00412AA2" w:rsidP="00101054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2174554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4E2C9D" w:rsidRPr="002B0297" w:rsidRDefault="004341E2" w:rsidP="00101054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Default="004E2C9D" w:rsidP="0010105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4E2C9D" w:rsidRPr="002B0297" w:rsidRDefault="004E2C9D" w:rsidP="0010105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4E2C9D" w:rsidRPr="002B0297" w:rsidRDefault="004E2C9D" w:rsidP="00101054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101054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32373" w:rsidRDefault="006740D1" w:rsidP="00D32373">
          <w:pPr>
            <w:pStyle w:val="stBilgi"/>
            <w:rPr>
              <w:rFonts w:ascii="Calibri" w:hAnsi="Calibri"/>
              <w:b/>
              <w:sz w:val="16"/>
              <w:szCs w:val="16"/>
              <w:lang w:val="en-AU"/>
            </w:rPr>
          </w:pPr>
          <w:r w:rsidRPr="00D32373">
            <w:rPr>
              <w:rFonts w:ascii="Arial" w:hAnsi="Arial" w:cs="Arial"/>
              <w:b/>
              <w:sz w:val="16"/>
              <w:szCs w:val="16"/>
            </w:rPr>
            <w:t>K.KU.GT. 22</w:t>
          </w:r>
        </w:p>
      </w:tc>
    </w:tr>
    <w:tr w:rsidR="004E2C9D" w:rsidRPr="00BE5FB0" w:rsidTr="00101054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101054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101054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101054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32373" w:rsidRDefault="00D32373" w:rsidP="00D32373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32373">
            <w:rPr>
              <w:rFonts w:ascii="Calibri" w:hAnsi="Calibri"/>
              <w:b/>
              <w:sz w:val="20"/>
              <w:szCs w:val="20"/>
              <w:lang w:val="en-AU"/>
            </w:rPr>
            <w:t>05.06.2018</w:t>
          </w:r>
        </w:p>
      </w:tc>
    </w:tr>
    <w:tr w:rsidR="004E2C9D" w:rsidRPr="00BE5FB0" w:rsidTr="00101054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101054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101054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2B0297" w:rsidRDefault="004E2C9D" w:rsidP="00101054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32373" w:rsidRDefault="006740D1" w:rsidP="00D32373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32373">
            <w:rPr>
              <w:rFonts w:ascii="Calibri" w:hAnsi="Calibri"/>
              <w:b/>
              <w:sz w:val="20"/>
              <w:szCs w:val="20"/>
              <w:lang w:val="en-AU"/>
            </w:rPr>
            <w:t>01</w:t>
          </w:r>
        </w:p>
      </w:tc>
    </w:tr>
    <w:tr w:rsidR="004E2C9D" w:rsidRPr="00D71481" w:rsidTr="00101054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71481" w:rsidRDefault="004E2C9D" w:rsidP="00101054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4E2C9D" w:rsidRPr="00B04112" w:rsidRDefault="004A3ED8" w:rsidP="00101054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 w:rsidRPr="00B04112">
            <w:rPr>
              <w:rFonts w:ascii="Calibri" w:hAnsi="Calibri"/>
              <w:b/>
            </w:rPr>
            <w:t xml:space="preserve">RADYOLOJİ TEKNİSYENİ/TEKNİKERİ GÖREV </w:t>
          </w:r>
          <w:r w:rsidR="004E2C9D" w:rsidRPr="00B04112">
            <w:rPr>
              <w:rFonts w:ascii="Calibri" w:hAnsi="Calibri"/>
              <w:b/>
            </w:rPr>
            <w:t>TANIMI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71481" w:rsidRDefault="004E2C9D" w:rsidP="00101054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32373" w:rsidRDefault="00D32373" w:rsidP="00D32373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32373">
            <w:rPr>
              <w:rFonts w:ascii="Calibri" w:hAnsi="Calibri"/>
              <w:b/>
              <w:sz w:val="20"/>
              <w:szCs w:val="20"/>
              <w:lang w:val="en-AU"/>
            </w:rPr>
            <w:t>01.11.2019</w:t>
          </w:r>
        </w:p>
      </w:tc>
    </w:tr>
    <w:tr w:rsidR="004E2C9D" w:rsidRPr="00D71481" w:rsidTr="00101054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71481" w:rsidRDefault="004E2C9D" w:rsidP="00101054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71481" w:rsidRDefault="004E2C9D" w:rsidP="00101054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71481" w:rsidRDefault="004E2C9D" w:rsidP="00101054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E2C9D" w:rsidRPr="00D32373" w:rsidRDefault="00060710" w:rsidP="00D32373">
          <w:pPr>
            <w:rPr>
              <w:rFonts w:ascii="Calibri" w:hAnsi="Calibri"/>
              <w:b/>
              <w:sz w:val="20"/>
              <w:szCs w:val="20"/>
            </w:rPr>
          </w:pPr>
          <w:r w:rsidRPr="00D32373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4E2C9D" w:rsidRPr="00D32373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D32373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976C20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D32373">
            <w:rPr>
              <w:rFonts w:ascii="Calibri" w:hAnsi="Calibri"/>
              <w:b/>
              <w:sz w:val="20"/>
              <w:szCs w:val="20"/>
            </w:rPr>
            <w:fldChar w:fldCharType="end"/>
          </w:r>
          <w:r w:rsidR="004A3ED8" w:rsidRPr="00D32373">
            <w:rPr>
              <w:rFonts w:ascii="Calibri" w:hAnsi="Calibri"/>
              <w:b/>
              <w:sz w:val="20"/>
              <w:szCs w:val="20"/>
            </w:rPr>
            <w:t xml:space="preserve"> / 1</w:t>
          </w:r>
        </w:p>
      </w:tc>
    </w:tr>
  </w:tbl>
  <w:p w:rsidR="00947ED6" w:rsidRPr="00D71481" w:rsidRDefault="00947ED6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D8" w:rsidRDefault="00412AA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74552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8B1"/>
    <w:multiLevelType w:val="hybridMultilevel"/>
    <w:tmpl w:val="B2EEF29E"/>
    <w:lvl w:ilvl="0" w:tplc="E9C23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46C6F"/>
    <w:multiLevelType w:val="hybridMultilevel"/>
    <w:tmpl w:val="3DCE90A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45A73"/>
    <w:multiLevelType w:val="hybridMultilevel"/>
    <w:tmpl w:val="88106B7A"/>
    <w:lvl w:ilvl="0" w:tplc="E9C2349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3F22C6"/>
    <w:multiLevelType w:val="hybridMultilevel"/>
    <w:tmpl w:val="6E46F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78D6"/>
    <w:multiLevelType w:val="hybridMultilevel"/>
    <w:tmpl w:val="1D4C431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C44DD"/>
    <w:multiLevelType w:val="hybridMultilevel"/>
    <w:tmpl w:val="950C9664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6DCE"/>
    <w:multiLevelType w:val="hybridMultilevel"/>
    <w:tmpl w:val="67B62F6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EA623D"/>
    <w:multiLevelType w:val="hybridMultilevel"/>
    <w:tmpl w:val="192044F2"/>
    <w:lvl w:ilvl="0" w:tplc="E9C234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91B"/>
    <w:rsid w:val="0000525D"/>
    <w:rsid w:val="00005524"/>
    <w:rsid w:val="00030F39"/>
    <w:rsid w:val="00052BF6"/>
    <w:rsid w:val="00057E91"/>
    <w:rsid w:val="00060710"/>
    <w:rsid w:val="00084F61"/>
    <w:rsid w:val="00092267"/>
    <w:rsid w:val="00093FE8"/>
    <w:rsid w:val="000B067A"/>
    <w:rsid w:val="000B60BA"/>
    <w:rsid w:val="000C01ED"/>
    <w:rsid w:val="000C7877"/>
    <w:rsid w:val="000F0504"/>
    <w:rsid w:val="00101054"/>
    <w:rsid w:val="00121A50"/>
    <w:rsid w:val="00134FC9"/>
    <w:rsid w:val="00167488"/>
    <w:rsid w:val="001A4D6C"/>
    <w:rsid w:val="001C484B"/>
    <w:rsid w:val="00226EC6"/>
    <w:rsid w:val="0023021C"/>
    <w:rsid w:val="00262035"/>
    <w:rsid w:val="00281334"/>
    <w:rsid w:val="002852C2"/>
    <w:rsid w:val="002B0297"/>
    <w:rsid w:val="002B63F6"/>
    <w:rsid w:val="002D3409"/>
    <w:rsid w:val="002D63BE"/>
    <w:rsid w:val="002E1BC3"/>
    <w:rsid w:val="002F7164"/>
    <w:rsid w:val="00300197"/>
    <w:rsid w:val="00386773"/>
    <w:rsid w:val="003E08EC"/>
    <w:rsid w:val="003E2DAD"/>
    <w:rsid w:val="00402F7B"/>
    <w:rsid w:val="00412207"/>
    <w:rsid w:val="00412AA2"/>
    <w:rsid w:val="00413C1E"/>
    <w:rsid w:val="004341E2"/>
    <w:rsid w:val="0048401D"/>
    <w:rsid w:val="004A3ED8"/>
    <w:rsid w:val="004E2C9D"/>
    <w:rsid w:val="00512B30"/>
    <w:rsid w:val="00544B11"/>
    <w:rsid w:val="00567F1E"/>
    <w:rsid w:val="00573710"/>
    <w:rsid w:val="005807C8"/>
    <w:rsid w:val="00593605"/>
    <w:rsid w:val="00613816"/>
    <w:rsid w:val="006740D1"/>
    <w:rsid w:val="0068491B"/>
    <w:rsid w:val="006B41F0"/>
    <w:rsid w:val="006E6A74"/>
    <w:rsid w:val="00702388"/>
    <w:rsid w:val="007222F4"/>
    <w:rsid w:val="007259D4"/>
    <w:rsid w:val="00756CFF"/>
    <w:rsid w:val="007C3F44"/>
    <w:rsid w:val="007C6722"/>
    <w:rsid w:val="007D0C2A"/>
    <w:rsid w:val="007F56E7"/>
    <w:rsid w:val="008510AC"/>
    <w:rsid w:val="009126D4"/>
    <w:rsid w:val="00947ED6"/>
    <w:rsid w:val="00954BF5"/>
    <w:rsid w:val="0096132C"/>
    <w:rsid w:val="009655DE"/>
    <w:rsid w:val="00976C20"/>
    <w:rsid w:val="00983C21"/>
    <w:rsid w:val="00991798"/>
    <w:rsid w:val="00994630"/>
    <w:rsid w:val="009A3A8A"/>
    <w:rsid w:val="00A10DD3"/>
    <w:rsid w:val="00A34E6D"/>
    <w:rsid w:val="00A6000B"/>
    <w:rsid w:val="00A65255"/>
    <w:rsid w:val="00A755B0"/>
    <w:rsid w:val="00A85418"/>
    <w:rsid w:val="00A95494"/>
    <w:rsid w:val="00AF58FD"/>
    <w:rsid w:val="00AF7CCA"/>
    <w:rsid w:val="00B04112"/>
    <w:rsid w:val="00B15B3E"/>
    <w:rsid w:val="00B1784A"/>
    <w:rsid w:val="00B65E6B"/>
    <w:rsid w:val="00B66B56"/>
    <w:rsid w:val="00B74607"/>
    <w:rsid w:val="00B91E4F"/>
    <w:rsid w:val="00BE064F"/>
    <w:rsid w:val="00C14ACC"/>
    <w:rsid w:val="00C250AD"/>
    <w:rsid w:val="00C34D08"/>
    <w:rsid w:val="00C361DA"/>
    <w:rsid w:val="00C53A08"/>
    <w:rsid w:val="00C72616"/>
    <w:rsid w:val="00C76B8B"/>
    <w:rsid w:val="00C81FD8"/>
    <w:rsid w:val="00C83F08"/>
    <w:rsid w:val="00CC32BA"/>
    <w:rsid w:val="00CE11B3"/>
    <w:rsid w:val="00CF1C37"/>
    <w:rsid w:val="00D11747"/>
    <w:rsid w:val="00D16550"/>
    <w:rsid w:val="00D25C96"/>
    <w:rsid w:val="00D32373"/>
    <w:rsid w:val="00D52159"/>
    <w:rsid w:val="00D71481"/>
    <w:rsid w:val="00D91F12"/>
    <w:rsid w:val="00D93C27"/>
    <w:rsid w:val="00DB0137"/>
    <w:rsid w:val="00DB64E3"/>
    <w:rsid w:val="00DF2E01"/>
    <w:rsid w:val="00E46663"/>
    <w:rsid w:val="00EB1239"/>
    <w:rsid w:val="00EB72E1"/>
    <w:rsid w:val="00EC701C"/>
    <w:rsid w:val="00EC7C7D"/>
    <w:rsid w:val="00ED13D7"/>
    <w:rsid w:val="00ED4304"/>
    <w:rsid w:val="00EF75E2"/>
    <w:rsid w:val="00F533C5"/>
    <w:rsid w:val="00F6030A"/>
    <w:rsid w:val="00FA5475"/>
    <w:rsid w:val="00FC3342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438A465-8BED-4E56-98DA-A03E290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755B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755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locked/>
    <w:rsid w:val="00A755B0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A755B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48401D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Normal"/>
    <w:uiPriority w:val="99"/>
    <w:rsid w:val="0048401D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</w:rPr>
  </w:style>
  <w:style w:type="character" w:customStyle="1" w:styleId="FontStyle18">
    <w:name w:val="Font Style18"/>
    <w:basedOn w:val="VarsaylanParagrafYazTipi"/>
    <w:uiPriority w:val="99"/>
    <w:rsid w:val="0048401D"/>
    <w:rPr>
      <w:rFonts w:ascii="Microsoft Sans Serif" w:hAnsi="Microsoft Sans Serif" w:cs="Microsoft Sans Serif" w:hint="default"/>
      <w:b/>
      <w:bCs/>
      <w:sz w:val="20"/>
      <w:szCs w:val="20"/>
    </w:rPr>
  </w:style>
  <w:style w:type="paragraph" w:customStyle="1" w:styleId="Default">
    <w:name w:val="Default"/>
    <w:rsid w:val="000052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62035"/>
    <w:rPr>
      <w:sz w:val="24"/>
      <w:szCs w:val="24"/>
    </w:rPr>
  </w:style>
  <w:style w:type="character" w:customStyle="1" w:styleId="normaltextrun">
    <w:name w:val="normaltextrun"/>
    <w:basedOn w:val="VarsaylanParagrafYazTipi"/>
    <w:rsid w:val="00A10DD3"/>
  </w:style>
  <w:style w:type="character" w:customStyle="1" w:styleId="eop">
    <w:name w:val="eop"/>
    <w:basedOn w:val="VarsaylanParagrafYazTipi"/>
    <w:rsid w:val="00A10DD3"/>
  </w:style>
  <w:style w:type="character" w:customStyle="1" w:styleId="spellingerror">
    <w:name w:val="spellingerror"/>
    <w:basedOn w:val="VarsaylanParagrafYazTipi"/>
    <w:rsid w:val="00A10DD3"/>
  </w:style>
  <w:style w:type="character" w:customStyle="1" w:styleId="scxw137590725">
    <w:name w:val="scxw137590725"/>
    <w:basedOn w:val="VarsaylanParagrafYazTipi"/>
    <w:rsid w:val="00A10DD3"/>
  </w:style>
  <w:style w:type="paragraph" w:styleId="ListeParagraf">
    <w:name w:val="List Paragraph"/>
    <w:basedOn w:val="Normal"/>
    <w:uiPriority w:val="34"/>
    <w:qFormat/>
    <w:rsid w:val="004E2C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GvdeMetniArial">
    <w:name w:val="Gövde Metni + Arial"/>
    <w:aliases w:val="12 nk,Önce:5nk,Sonra:5nk,Satır aralığı:  tek"/>
    <w:basedOn w:val="Normal"/>
    <w:rsid w:val="004A3ED8"/>
    <w:pPr>
      <w:spacing w:after="120"/>
      <w:ind w:left="283"/>
    </w:pPr>
  </w:style>
  <w:style w:type="paragraph" w:styleId="BalonMetni">
    <w:name w:val="Balloon Text"/>
    <w:basedOn w:val="Normal"/>
    <w:link w:val="BalonMetniChar"/>
    <w:rsid w:val="00402F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02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</dc:creator>
  <cp:lastModifiedBy>HASTA HAKLARI</cp:lastModifiedBy>
  <cp:revision>17</cp:revision>
  <cp:lastPrinted>2018-06-06T06:49:00Z</cp:lastPrinted>
  <dcterms:created xsi:type="dcterms:W3CDTF">2018-06-06T07:06:00Z</dcterms:created>
  <dcterms:modified xsi:type="dcterms:W3CDTF">2019-10-25T05:43:00Z</dcterms:modified>
</cp:coreProperties>
</file>