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ARŞİV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 Erbakan  Üniversitesi  üst  yönetimi  tarafından  belirlenen  amaç  ve  ilkelere uygun  olarak;  Fakültenin  gerekli  tüm  faaliyetlerinin etkenlik ve verimlilik esaslarına uygun olarak yürütülmesi amacıyla Şoförlükkapsamına giren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BİLGİSAYAR TEKNİKERİ ALİ ERFİDAN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öğrencilerinin dosya takibini yapmak.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Yöksis bilgilerinin güncellemesine yönelik verileri dosyalardan temin etmek.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Fakültemiz öğrencilerinin sınav evraklarını muhafaza etmek.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Öğrenci dosyalarındaki bilgi ve belgelerin  dijital ortama aktarılmasını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Resmi yazışmalara ait evrakların muhafazasını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Muhafaza  edilen  evrakların  süreleri  gözetilerek  arşivden  düşmüş  olanların  imhasını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Görev alanı ve çalışma ortamındaİSG’ne yönelik tedbir ve kurallara uyar.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Görevi dahilinde amirinin vereceği diğer işleri yapmak.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Yukarıda  belirtilen  görevlerin  yerine  getirilmesinde  Fakülte  Sekreterine  karşı sorumludur.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ARŞİV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