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TAŞINIR KAYIT VE KONTROL YETKİLİLERİ</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26/12/2007 tarihli ve 26738 sayılı Resmi Gazetede yayımlanan Kamu İç Kontrol Standartları Tebliği ile kamu idarelerinde iç kontrol sisteminin oluşturulması, uygulanması, izlenmesi ve geliştirilmesi kapsamındaki sorumlulaklar</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 SEKRETERİ</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r w:rsidR="000F77C2">
              <w:rPr>
                <w:rFonts w:ascii="Times New Roman" w:hAnsi="Times New Roman" w:cs="Times New Roman"/>
                <w:noProof/>
              </w:rPr>
              <w:t>BİLGİSAYAR İŞLETMENİ ADNAN  TAŞDİKEN </w:t>
            </w: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Mali Yıl Başında Taşınır Kayıt ve Kontrol işlemleri içinde oluşturulan Muayene Kabul Komisyonunda belirlenen isimleri Rektörlüğümüze bildirmek,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Fakültemizin ihtiyaçlarını karşılamak için satın alınan taşınır malların, muayene ve kabulü yapılanları cins ve niteliklerine göre sayarak, tartarak, ölçerek teslim almak, doğrudan tüketilmeyen ve kullanıma verilmeyen taşınırları sorumluluğundaki ambarlarda muhafaza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Muayene ve kabul işlemi hemen yapılamayan taşınırları kontrol ederek teslim almak, bunların kesin kabulü yapılmadan kullanıma verilmesini önlemek,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Tüketime veya kullanıma verilmesi uygun görülen taşınırları ilgililere teslim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Tüketime verilmiş olan taşınırları 3’er aylık periyotlarla ve konsolide görevlisine bildirmek,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Taşınırların yangına, ıslanmaya, bozulmaya, çalınmaya ve benzeri tehlikelere karşı korunmasıiçin gerekli tedbirleri almak ve alınmasını sağlamak,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Ambarda çalınma veya olağanüstü nedenlerden dolayı meydana gelen azalmaları harcama yetkilisine bildirmek,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Ambar sayımını ve stok kontrolünü yapmak, harcama yetkilisince belirlenen asgarî stok seviyesinin altına düşen taşınırları harcama yetkilisine bildirmek,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Kullanımda bulunan dayanıklı taşınırları bulundukları yerde kontrol etmek, sayımlarını yapmak ve yaptırmak,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Görevinden ayrılan personelin zimmetinde bulunan taşınırları eksiksiz bir şekilde teslim alarak zimmet düşümü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Fakültemizin malzeme ihtiyaç planlamasının yapılmasına yardımcı olmak,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Kayıtlarını tuttuğu taşınırların yönetim hesabını hazırlamak ve harcama yetkilisine sunmak,</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Doğan Harmankaya</w:t>
              <w:br/>
              <w:t xml:space="preserve">Adnan Taşdiken</w:t>
              <w:br/>
              <w:t xml:space="preserve"/>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Dr. Öğr. Üyesi Aytekin ŞENZEYBEK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22-06-2021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Sistem Yöneticisi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22-06-2021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TAŞINIR KAYIT VE KONTROL YETKİLİLERİ</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22/06/2021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22/06/2021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